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18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МАННАЯ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МАННАЯ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*БОРЩ С ФАСОЛЬЮ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*БОРЩ С ФАСОЛЬЮ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РЫБНАЯ ЛЮБИТЕЛЬСКАЯ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РЫБНАЯ ЛЮБИТЕЛЬСКАЯ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ИЗ ТВОРОГА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ИЗ ТВОРОГА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76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*ПИРОЖОК ПЕЧЁНЫЙ СДОБНЫЙ ИЗ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ДРОЖЖЕВОГО ТЕСТА С КАПУСТОЙ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СВЕЖЕЙ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*ПИРОЖОК ПЕЧЁНЫЙ СДОБНЫЙ ИЗ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ДРОЖЖЕВОГО ТЕСТА С КАПУСТОЙ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СВЕЖЕЙ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