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20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ЖИДКАЯ «ДРУЖБА»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ЖИДКАЯ «ДРУЖБА»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*КОФЕЙНЫЙ НАПИТОК НА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*ДЖЕМ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КУРИНЫЙ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*БИТОЧКИ  ИЗ ПТИЦЫ С ОВОЩАМИ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*БИТОЧКИ  ИЗ ПТИЦЫ С ОВОЩАМИ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*ПЮРЕ «РОЗОВОЕ» (КАРТОФЕЛЬНО -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МОРКОВНОЕ)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*ПЮРЕ «РОЗОВОЕ» (КАРТОФЕЛЬНО -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МОРКОВНОЕ)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*КОМПОТ ИЗ СМЕСИ СУХОФРУКТОВ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*ЯБЛОКО СВЕЖЕЕ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530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*ВАРЕНИКИ ЛЕНИВЫЕ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120/20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*ВАРЕНИКИ ЛЕНИВЫЕ СО СГУЩЕННЫМ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МОЛОКОМ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110/10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30/7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*ГРЕНКИ С СЫРОМ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30/6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