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25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 МАКАРОНЫ, ЗАПЕЧЕННЫЕ С ЯЙЦОМ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 МАКАРОНЫ, ЗАПЕЧЕННЫЕ С ЯЙЦОМ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**БОРЩ С КАПУСТОЙ И КАРТОФЕЛЕМ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**БОРЩ С КАПУСТОЙ И КАРТОФЕЛЕМ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**ГУЛЯШ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**ГУЛЯШ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*ЗАПЕКАНКА КАРТОФЕЛЬНАЯ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*ЗАПЕКАНКА КАРТОФЕЛЬНАЯ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 РИСОВЫЕ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150/20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 РИСОВЫЕ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 С СЫРОМ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30/7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 С СЫРОМ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30/6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